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7100" w14:textId="40925091"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Safeguarding children, young people and vulnerable adults</w:t>
      </w:r>
      <w:r w:rsidR="00340324">
        <w:rPr>
          <w:rFonts w:cs="Arial"/>
          <w:bCs/>
          <w:sz w:val="28"/>
          <w:szCs w:val="28"/>
        </w:rPr>
        <w:t>’</w:t>
      </w:r>
      <w:r w:rsidRPr="00CE3AFA">
        <w:rPr>
          <w:rFonts w:cs="Arial"/>
          <w:bCs/>
          <w:sz w:val="28"/>
          <w:szCs w:val="28"/>
        </w:rPr>
        <w:t xml:space="preserve"> procedures</w:t>
      </w:r>
    </w:p>
    <w:p w14:paraId="3B88899E" w14:textId="336FA1A5"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w:t>
      </w:r>
      <w:proofErr w:type="gramStart"/>
      <w:r w:rsidRPr="00CB3950">
        <w:rPr>
          <w:rFonts w:cs="Arial"/>
          <w:szCs w:val="22"/>
        </w:rPr>
        <w:t>are able to</w:t>
      </w:r>
      <w:proofErr w:type="gramEnd"/>
      <w:r w:rsidRPr="00CB3950">
        <w:rPr>
          <w:rFonts w:cs="Arial"/>
          <w:szCs w:val="22"/>
        </w:rPr>
        <w:t xml:space="preserve"> recognise and manage the risks posed in both the real and the virtual world. </w:t>
      </w:r>
    </w:p>
    <w:p w14:paraId="14861507" w14:textId="77777777"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60029C6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lastRenderedPageBreak/>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35409434"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300F34B"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675FF4B4" w:rsidR="00DC6CEC"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73B8850" w14:textId="71E9469E" w:rsidR="001415E5" w:rsidRDefault="001415E5" w:rsidP="00CB3950">
      <w:pPr>
        <w:autoSpaceDE w:val="0"/>
        <w:autoSpaceDN w:val="0"/>
        <w:adjustRightInd w:val="0"/>
        <w:spacing w:before="120" w:after="120" w:line="360" w:lineRule="auto"/>
        <w:rPr>
          <w:rFonts w:cs="Arial"/>
          <w:szCs w:val="22"/>
          <w:lang w:eastAsia="en-GB"/>
        </w:rPr>
      </w:pPr>
    </w:p>
    <w:p w14:paraId="1D470846" w14:textId="77777777" w:rsidR="001415E5" w:rsidRPr="00CB3950" w:rsidRDefault="001415E5" w:rsidP="00CB3950">
      <w:pPr>
        <w:autoSpaceDE w:val="0"/>
        <w:autoSpaceDN w:val="0"/>
        <w:adjustRightInd w:val="0"/>
        <w:spacing w:before="120" w:after="120" w:line="360" w:lineRule="auto"/>
        <w:rPr>
          <w:rFonts w:cs="Arial"/>
          <w:szCs w:val="22"/>
          <w:lang w:eastAsia="en-GB"/>
        </w:rPr>
      </w:pP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lastRenderedPageBreak/>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05C76F62"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 person in their setting</w:t>
      </w:r>
    </w:p>
    <w:p w14:paraId="3303521A" w14:textId="1D0FC580"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ersonal communication, including on social networking sites, with children and parents with whom they act in a professional capacity. There may be occasions when the practitioner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53D81FEF"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 xml:space="preserve">the designated </w:t>
      </w:r>
      <w:r w:rsidR="001415E5">
        <w:rPr>
          <w:rFonts w:cs="Arial"/>
          <w:szCs w:val="22"/>
        </w:rPr>
        <w:t>officer</w:t>
      </w:r>
      <w:r w:rsidR="00D02E45" w:rsidRPr="00EB52D6">
        <w:rPr>
          <w:rFonts w:cs="Arial"/>
          <w:szCs w:val="22"/>
        </w:rPr>
        <w:t xml:space="preserve"> who </w:t>
      </w:r>
      <w:r w:rsidRPr="00EB52D6">
        <w:rPr>
          <w:rFonts w:cs="Arial"/>
          <w:szCs w:val="22"/>
        </w:rPr>
        <w:t xml:space="preserve">follow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5C5A" w14:textId="77777777" w:rsidR="009A76F7" w:rsidRDefault="009A76F7">
      <w:r>
        <w:separator/>
      </w:r>
    </w:p>
  </w:endnote>
  <w:endnote w:type="continuationSeparator" w:id="0">
    <w:p w14:paraId="36689541" w14:textId="77777777" w:rsidR="009A76F7" w:rsidRDefault="009A76F7">
      <w:r>
        <w:continuationSeparator/>
      </w:r>
    </w:p>
  </w:endnote>
  <w:endnote w:type="continuationNotice" w:id="1">
    <w:p w14:paraId="62EFAD6F" w14:textId="77777777" w:rsidR="009A76F7" w:rsidRDefault="009A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EDEE" w14:textId="77777777" w:rsidR="009A76F7" w:rsidRDefault="009A76F7">
      <w:r>
        <w:separator/>
      </w:r>
    </w:p>
  </w:footnote>
  <w:footnote w:type="continuationSeparator" w:id="0">
    <w:p w14:paraId="0FE20F95" w14:textId="77777777" w:rsidR="009A76F7" w:rsidRDefault="009A76F7">
      <w:r>
        <w:continuationSeparator/>
      </w:r>
    </w:p>
  </w:footnote>
  <w:footnote w:type="continuationNotice" w:id="1">
    <w:p w14:paraId="3C3872C9" w14:textId="77777777" w:rsidR="009A76F7" w:rsidRDefault="009A76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5193899">
    <w:abstractNumId w:val="78"/>
  </w:num>
  <w:num w:numId="2" w16cid:durableId="1777015990">
    <w:abstractNumId w:val="73"/>
  </w:num>
  <w:num w:numId="3" w16cid:durableId="1519805964">
    <w:abstractNumId w:val="1"/>
  </w:num>
  <w:num w:numId="4" w16cid:durableId="1720592423">
    <w:abstractNumId w:val="49"/>
  </w:num>
  <w:num w:numId="5" w16cid:durableId="1668242140">
    <w:abstractNumId w:val="103"/>
  </w:num>
  <w:num w:numId="6" w16cid:durableId="1795632757">
    <w:abstractNumId w:val="119"/>
  </w:num>
  <w:num w:numId="7" w16cid:durableId="1576285287">
    <w:abstractNumId w:val="52"/>
  </w:num>
  <w:num w:numId="8" w16cid:durableId="1175266622">
    <w:abstractNumId w:val="14"/>
  </w:num>
  <w:num w:numId="9" w16cid:durableId="1156186743">
    <w:abstractNumId w:val="20"/>
  </w:num>
  <w:num w:numId="10" w16cid:durableId="115757062">
    <w:abstractNumId w:val="96"/>
  </w:num>
  <w:num w:numId="11" w16cid:durableId="1626737607">
    <w:abstractNumId w:val="94"/>
  </w:num>
  <w:num w:numId="12" w16cid:durableId="1012145525">
    <w:abstractNumId w:val="95"/>
  </w:num>
  <w:num w:numId="13" w16cid:durableId="892696552">
    <w:abstractNumId w:val="115"/>
  </w:num>
  <w:num w:numId="14" w16cid:durableId="41754815">
    <w:abstractNumId w:val="37"/>
  </w:num>
  <w:num w:numId="15" w16cid:durableId="698706740">
    <w:abstractNumId w:val="98"/>
  </w:num>
  <w:num w:numId="16" w16cid:durableId="1926568133">
    <w:abstractNumId w:val="82"/>
  </w:num>
  <w:num w:numId="17" w16cid:durableId="1599755234">
    <w:abstractNumId w:val="35"/>
  </w:num>
  <w:num w:numId="18" w16cid:durableId="1627155181">
    <w:abstractNumId w:val="93"/>
  </w:num>
  <w:num w:numId="19" w16cid:durableId="881938297">
    <w:abstractNumId w:val="6"/>
  </w:num>
  <w:num w:numId="20" w16cid:durableId="58598793">
    <w:abstractNumId w:val="132"/>
  </w:num>
  <w:num w:numId="21" w16cid:durableId="212160711">
    <w:abstractNumId w:val="8"/>
  </w:num>
  <w:num w:numId="22" w16cid:durableId="460417861">
    <w:abstractNumId w:val="56"/>
  </w:num>
  <w:num w:numId="23" w16cid:durableId="1988780999">
    <w:abstractNumId w:val="91"/>
  </w:num>
  <w:num w:numId="24" w16cid:durableId="1741513030">
    <w:abstractNumId w:val="135"/>
  </w:num>
  <w:num w:numId="25" w16cid:durableId="463888330">
    <w:abstractNumId w:val="42"/>
  </w:num>
  <w:num w:numId="26" w16cid:durableId="136265380">
    <w:abstractNumId w:val="97"/>
  </w:num>
  <w:num w:numId="27" w16cid:durableId="1387217390">
    <w:abstractNumId w:val="74"/>
  </w:num>
  <w:num w:numId="28" w16cid:durableId="1889218328">
    <w:abstractNumId w:val="79"/>
  </w:num>
  <w:num w:numId="29" w16cid:durableId="137842765">
    <w:abstractNumId w:val="124"/>
  </w:num>
  <w:num w:numId="30" w16cid:durableId="1861703335">
    <w:abstractNumId w:val="64"/>
  </w:num>
  <w:num w:numId="31" w16cid:durableId="22748085">
    <w:abstractNumId w:val="130"/>
  </w:num>
  <w:num w:numId="32" w16cid:durableId="614757059">
    <w:abstractNumId w:val="126"/>
  </w:num>
  <w:num w:numId="33" w16cid:durableId="666203946">
    <w:abstractNumId w:val="58"/>
  </w:num>
  <w:num w:numId="34" w16cid:durableId="1131556269">
    <w:abstractNumId w:val="23"/>
  </w:num>
  <w:num w:numId="35" w16cid:durableId="703291712">
    <w:abstractNumId w:val="113"/>
  </w:num>
  <w:num w:numId="36" w16cid:durableId="216822368">
    <w:abstractNumId w:val="18"/>
  </w:num>
  <w:num w:numId="37" w16cid:durableId="2060276594">
    <w:abstractNumId w:val="32"/>
  </w:num>
  <w:num w:numId="38" w16cid:durableId="1642928605">
    <w:abstractNumId w:val="5"/>
  </w:num>
  <w:num w:numId="39" w16cid:durableId="432290135">
    <w:abstractNumId w:val="59"/>
  </w:num>
  <w:num w:numId="40" w16cid:durableId="2137719329">
    <w:abstractNumId w:val="25"/>
  </w:num>
  <w:num w:numId="41" w16cid:durableId="208540649">
    <w:abstractNumId w:val="40"/>
  </w:num>
  <w:num w:numId="42" w16cid:durableId="1239828015">
    <w:abstractNumId w:val="51"/>
  </w:num>
  <w:num w:numId="43" w16cid:durableId="15274705">
    <w:abstractNumId w:val="24"/>
  </w:num>
  <w:num w:numId="44" w16cid:durableId="2006128888">
    <w:abstractNumId w:val="100"/>
  </w:num>
  <w:num w:numId="45" w16cid:durableId="1086919472">
    <w:abstractNumId w:val="131"/>
  </w:num>
  <w:num w:numId="46" w16cid:durableId="1527214314">
    <w:abstractNumId w:val="104"/>
  </w:num>
  <w:num w:numId="47" w16cid:durableId="379987403">
    <w:abstractNumId w:val="48"/>
  </w:num>
  <w:num w:numId="48" w16cid:durableId="1005327120">
    <w:abstractNumId w:val="2"/>
  </w:num>
  <w:num w:numId="49" w16cid:durableId="61878625">
    <w:abstractNumId w:val="31"/>
  </w:num>
  <w:num w:numId="50" w16cid:durableId="284429222">
    <w:abstractNumId w:val="68"/>
  </w:num>
  <w:num w:numId="51" w16cid:durableId="624623883">
    <w:abstractNumId w:val="53"/>
  </w:num>
  <w:num w:numId="52" w16cid:durableId="1596749270">
    <w:abstractNumId w:val="90"/>
  </w:num>
  <w:num w:numId="53" w16cid:durableId="1378159980">
    <w:abstractNumId w:val="10"/>
  </w:num>
  <w:num w:numId="54" w16cid:durableId="817889447">
    <w:abstractNumId w:val="29"/>
  </w:num>
  <w:num w:numId="55" w16cid:durableId="7572914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07781774">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96191270">
    <w:abstractNumId w:val="17"/>
  </w:num>
  <w:num w:numId="58" w16cid:durableId="6677499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4588470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6042583">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9415795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444557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18331648">
    <w:abstractNumId w:val="38"/>
  </w:num>
  <w:num w:numId="64" w16cid:durableId="1526095256">
    <w:abstractNumId w:val="43"/>
  </w:num>
  <w:num w:numId="65" w16cid:durableId="178619590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591754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346794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0282367">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0870142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759571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08578709">
    <w:abstractNumId w:val="69"/>
  </w:num>
  <w:num w:numId="72" w16cid:durableId="1389571672">
    <w:abstractNumId w:val="108"/>
  </w:num>
  <w:num w:numId="73" w16cid:durableId="1219439780">
    <w:abstractNumId w:val="9"/>
  </w:num>
  <w:num w:numId="74" w16cid:durableId="1430850515">
    <w:abstractNumId w:val="88"/>
  </w:num>
  <w:num w:numId="75" w16cid:durableId="897400288">
    <w:abstractNumId w:val="21"/>
  </w:num>
  <w:num w:numId="76" w16cid:durableId="1835493679">
    <w:abstractNumId w:val="117"/>
  </w:num>
  <w:num w:numId="77" w16cid:durableId="417598908">
    <w:abstractNumId w:val="118"/>
  </w:num>
  <w:num w:numId="78" w16cid:durableId="593632295">
    <w:abstractNumId w:val="80"/>
  </w:num>
  <w:num w:numId="79" w16cid:durableId="513692458">
    <w:abstractNumId w:val="11"/>
  </w:num>
  <w:num w:numId="80" w16cid:durableId="1463574156">
    <w:abstractNumId w:val="46"/>
  </w:num>
  <w:num w:numId="81" w16cid:durableId="32390857">
    <w:abstractNumId w:val="0"/>
  </w:num>
  <w:num w:numId="82" w16cid:durableId="1199975482">
    <w:abstractNumId w:val="34"/>
  </w:num>
  <w:num w:numId="83" w16cid:durableId="823162357">
    <w:abstractNumId w:val="47"/>
  </w:num>
  <w:num w:numId="84" w16cid:durableId="1548908031">
    <w:abstractNumId w:val="116"/>
  </w:num>
  <w:num w:numId="85" w16cid:durableId="792597582">
    <w:abstractNumId w:val="71"/>
  </w:num>
  <w:num w:numId="86" w16cid:durableId="365177547">
    <w:abstractNumId w:val="109"/>
  </w:num>
  <w:num w:numId="87" w16cid:durableId="403725838">
    <w:abstractNumId w:val="84"/>
  </w:num>
  <w:num w:numId="88" w16cid:durableId="177543207">
    <w:abstractNumId w:val="105"/>
  </w:num>
  <w:num w:numId="89" w16cid:durableId="1578779351">
    <w:abstractNumId w:val="16"/>
  </w:num>
  <w:num w:numId="90" w16cid:durableId="363948050">
    <w:abstractNumId w:val="120"/>
  </w:num>
  <w:num w:numId="91" w16cid:durableId="2134253030">
    <w:abstractNumId w:val="26"/>
  </w:num>
  <w:num w:numId="92" w16cid:durableId="1049721792">
    <w:abstractNumId w:val="122"/>
  </w:num>
  <w:num w:numId="93" w16cid:durableId="948511089">
    <w:abstractNumId w:val="89"/>
  </w:num>
  <w:num w:numId="94" w16cid:durableId="1631126993">
    <w:abstractNumId w:val="45"/>
  </w:num>
  <w:num w:numId="95" w16cid:durableId="1224099434">
    <w:abstractNumId w:val="70"/>
  </w:num>
  <w:num w:numId="96" w16cid:durableId="2001617874">
    <w:abstractNumId w:val="44"/>
  </w:num>
  <w:num w:numId="97" w16cid:durableId="1519806290">
    <w:abstractNumId w:val="55"/>
  </w:num>
  <w:num w:numId="98" w16cid:durableId="1467091136">
    <w:abstractNumId w:val="76"/>
  </w:num>
  <w:num w:numId="99" w16cid:durableId="1486898686">
    <w:abstractNumId w:val="67"/>
  </w:num>
  <w:num w:numId="100" w16cid:durableId="1245915468">
    <w:abstractNumId w:val="87"/>
  </w:num>
  <w:num w:numId="101" w16cid:durableId="1849061149">
    <w:abstractNumId w:val="128"/>
  </w:num>
  <w:num w:numId="102" w16cid:durableId="585264375">
    <w:abstractNumId w:val="112"/>
  </w:num>
  <w:num w:numId="103" w16cid:durableId="653484586">
    <w:abstractNumId w:val="4"/>
  </w:num>
  <w:num w:numId="104" w16cid:durableId="1325209254">
    <w:abstractNumId w:val="57"/>
  </w:num>
  <w:num w:numId="105" w16cid:durableId="1670059818">
    <w:abstractNumId w:val="33"/>
  </w:num>
  <w:num w:numId="106" w16cid:durableId="1978293478">
    <w:abstractNumId w:val="123"/>
  </w:num>
  <w:num w:numId="107" w16cid:durableId="531725094">
    <w:abstractNumId w:val="41"/>
  </w:num>
  <w:num w:numId="108" w16cid:durableId="1577978723">
    <w:abstractNumId w:val="75"/>
  </w:num>
  <w:num w:numId="109" w16cid:durableId="898520994">
    <w:abstractNumId w:val="65"/>
  </w:num>
  <w:num w:numId="110" w16cid:durableId="2004047965">
    <w:abstractNumId w:val="7"/>
  </w:num>
  <w:num w:numId="111" w16cid:durableId="1708482470">
    <w:abstractNumId w:val="85"/>
  </w:num>
  <w:num w:numId="112" w16cid:durableId="583103110">
    <w:abstractNumId w:val="50"/>
  </w:num>
  <w:num w:numId="113" w16cid:durableId="345181142">
    <w:abstractNumId w:val="36"/>
  </w:num>
  <w:num w:numId="114" w16cid:durableId="1904633607">
    <w:abstractNumId w:val="129"/>
  </w:num>
  <w:num w:numId="115" w16cid:durableId="226383233">
    <w:abstractNumId w:val="27"/>
  </w:num>
  <w:num w:numId="116" w16cid:durableId="163055512">
    <w:abstractNumId w:val="66"/>
  </w:num>
  <w:num w:numId="117" w16cid:durableId="1430927466">
    <w:abstractNumId w:val="72"/>
  </w:num>
  <w:num w:numId="118" w16cid:durableId="932282264">
    <w:abstractNumId w:val="86"/>
  </w:num>
  <w:num w:numId="119" w16cid:durableId="2085951424">
    <w:abstractNumId w:val="83"/>
  </w:num>
  <w:num w:numId="120" w16cid:durableId="1548757329">
    <w:abstractNumId w:val="63"/>
  </w:num>
  <w:num w:numId="121" w16cid:durableId="1415976825">
    <w:abstractNumId w:val="22"/>
  </w:num>
  <w:num w:numId="122" w16cid:durableId="2123764018">
    <w:abstractNumId w:val="30"/>
  </w:num>
  <w:num w:numId="123" w16cid:durableId="580330458">
    <w:abstractNumId w:val="99"/>
  </w:num>
  <w:num w:numId="124" w16cid:durableId="1264797444">
    <w:abstractNumId w:val="121"/>
  </w:num>
  <w:num w:numId="125" w16cid:durableId="1633244768">
    <w:abstractNumId w:val="110"/>
  </w:num>
  <w:num w:numId="126" w16cid:durableId="2025204798">
    <w:abstractNumId w:val="111"/>
  </w:num>
  <w:num w:numId="127" w16cid:durableId="990016889">
    <w:abstractNumId w:val="13"/>
  </w:num>
  <w:num w:numId="128" w16cid:durableId="1056776495">
    <w:abstractNumId w:val="127"/>
  </w:num>
  <w:num w:numId="129" w16cid:durableId="1157769403">
    <w:abstractNumId w:val="3"/>
  </w:num>
  <w:num w:numId="130" w16cid:durableId="197013971">
    <w:abstractNumId w:val="81"/>
  </w:num>
  <w:num w:numId="131" w16cid:durableId="1306811664">
    <w:abstractNumId w:val="125"/>
  </w:num>
  <w:num w:numId="132" w16cid:durableId="68114775">
    <w:abstractNumId w:val="62"/>
  </w:num>
  <w:num w:numId="133" w16cid:durableId="1546746697">
    <w:abstractNumId w:val="106"/>
  </w:num>
  <w:num w:numId="134" w16cid:durableId="1354070814">
    <w:abstractNumId w:val="61"/>
  </w:num>
  <w:num w:numId="135" w16cid:durableId="1646857602">
    <w:abstractNumId w:val="102"/>
  </w:num>
  <w:num w:numId="136" w16cid:durableId="1221214794">
    <w:abstractNumId w:val="133"/>
  </w:num>
  <w:num w:numId="137" w16cid:durableId="594441918">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15E5"/>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324"/>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4B7D"/>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6F7"/>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Props1.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mark hanson</cp:lastModifiedBy>
  <cp:revision>6</cp:revision>
  <cp:lastPrinted>2019-04-17T19:39:00Z</cp:lastPrinted>
  <dcterms:created xsi:type="dcterms:W3CDTF">2021-07-21T15:30:00Z</dcterms:created>
  <dcterms:modified xsi:type="dcterms:W3CDTF">2022-05-15T08:59:00Z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